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FF" w:rsidRDefault="00623BFF" w:rsidP="00623BFF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5B63A0">
        <w:rPr>
          <w:rFonts w:ascii="Times New Roman" w:hAnsi="Times New Roman"/>
          <w:b/>
          <w:sz w:val="28"/>
          <w:szCs w:val="28"/>
          <w:lang w:val="ru-RU" w:eastAsia="ru-RU"/>
        </w:rPr>
        <w:t xml:space="preserve">30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ноября  2015 года                 № 46/99</w:t>
      </w: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623BFF" w:rsidRDefault="00623BFF" w:rsidP="00623BFF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623BFF" w:rsidRDefault="00623BFF" w:rsidP="00623BFF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16.12.2014года № 30/65 «О местном бюджете</w:t>
      </w:r>
    </w:p>
    <w:p w:rsidR="00623BFF" w:rsidRDefault="00623BFF" w:rsidP="00623BFF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2015 год».</w:t>
      </w: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623BFF" w:rsidRDefault="00623BFF" w:rsidP="00623BFF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16.12.2014 года          № 30/65 «О местном бюджете Октябрьского муниципального образования Лысогорского муниципального района Саратовской области на 2015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623BFF" w:rsidRDefault="00623BFF" w:rsidP="00623BFF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1 к решению 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5B63A0">
        <w:rPr>
          <w:rFonts w:ascii="Times New Roman" w:hAnsi="Times New Roman"/>
          <w:sz w:val="20"/>
          <w:szCs w:val="20"/>
          <w:lang w:val="ru-RU" w:eastAsia="ru-RU"/>
        </w:rPr>
        <w:t>30.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11.2015 года № </w:t>
      </w:r>
      <w:r w:rsidR="00983B67">
        <w:rPr>
          <w:rFonts w:ascii="Times New Roman" w:hAnsi="Times New Roman"/>
          <w:sz w:val="20"/>
          <w:szCs w:val="20"/>
          <w:lang w:val="ru-RU" w:eastAsia="ru-RU"/>
        </w:rPr>
        <w:t>46/99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2015 год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 тыс. руб.)</w:t>
      </w:r>
    </w:p>
    <w:tbl>
      <w:tblPr>
        <w:tblW w:w="10380" w:type="dxa"/>
        <w:tblInd w:w="-328" w:type="dxa"/>
        <w:tblLayout w:type="fixed"/>
        <w:tblCellMar>
          <w:left w:w="113" w:type="dxa"/>
        </w:tblCellMar>
        <w:tblLook w:val="04A0"/>
      </w:tblPr>
      <w:tblGrid>
        <w:gridCol w:w="1576"/>
        <w:gridCol w:w="2696"/>
        <w:gridCol w:w="4254"/>
        <w:gridCol w:w="1854"/>
      </w:tblGrid>
      <w:tr w:rsidR="00623BFF" w:rsidTr="00983B67">
        <w:trPr>
          <w:trHeight w:val="12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23BFF" w:rsidTr="00983B67">
        <w:trPr>
          <w:trHeight w:hRule="exact" w:val="23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23BFF" w:rsidRDefault="00623BFF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23BFF" w:rsidTr="00983B67">
        <w:trPr>
          <w:trHeight w:val="240"/>
        </w:trPr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23BFF" w:rsidRDefault="00623BF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23BFF" w:rsidRDefault="00623BFF" w:rsidP="00983B6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83B67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23BFF" w:rsidTr="00983B67">
        <w:trPr>
          <w:trHeight w:val="555"/>
        </w:trPr>
        <w:tc>
          <w:tcPr>
            <w:tcW w:w="8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23BFF" w:rsidRDefault="00623BFF" w:rsidP="00983B67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83B67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623BFF" w:rsidRDefault="00623BFF" w:rsidP="00623BFF">
      <w:pPr>
        <w:pStyle w:val="10"/>
        <w:jc w:val="center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983B67" w:rsidRDefault="00983B67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983B6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="005B63A0">
        <w:rPr>
          <w:rFonts w:ascii="Times New Roman" w:hAnsi="Times New Roman"/>
          <w:sz w:val="20"/>
          <w:szCs w:val="20"/>
          <w:lang w:val="ru-RU" w:eastAsia="ru-RU"/>
        </w:rPr>
        <w:t>30.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11. 2015 года № </w:t>
      </w:r>
      <w:r w:rsidR="00983B67">
        <w:rPr>
          <w:rFonts w:ascii="Times New Roman" w:hAnsi="Times New Roman"/>
          <w:sz w:val="20"/>
          <w:szCs w:val="20"/>
          <w:lang w:val="ru-RU" w:eastAsia="ru-RU"/>
        </w:rPr>
        <w:t>46/99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2015 год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 тыс. рублей)</w:t>
      </w:r>
    </w:p>
    <w:tbl>
      <w:tblPr>
        <w:tblW w:w="10590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8"/>
        <w:gridCol w:w="566"/>
        <w:gridCol w:w="567"/>
        <w:gridCol w:w="567"/>
        <w:gridCol w:w="1275"/>
        <w:gridCol w:w="567"/>
        <w:gridCol w:w="1065"/>
        <w:gridCol w:w="35"/>
      </w:tblGrid>
      <w:tr w:rsidR="00623BFF" w:rsidTr="00732D2F">
        <w:trPr>
          <w:trHeight w:val="537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</w:p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кредитов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BFF" w:rsidRDefault="00623BFF">
            <w:pPr>
              <w:pStyle w:val="2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Сумма</w:t>
            </w:r>
          </w:p>
        </w:tc>
      </w:tr>
      <w:tr w:rsidR="00623BF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 w:rsidP="00D1456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BFF" w:rsidRDefault="00623BFF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3BF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03884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  <w:bCs/>
                <w:lang w:val="ru-RU"/>
              </w:rPr>
              <w:t xml:space="preserve"> Другие </w:t>
            </w:r>
            <w:r w:rsidR="00623BFF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BFF" w:rsidRDefault="00623BFF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23BF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03884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+64,0</w:t>
            </w:r>
            <w:r w:rsidR="00D14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BFF" w:rsidRDefault="00623BFF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3BF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03884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>исполнении</w:t>
            </w:r>
            <w:proofErr w:type="gramEnd"/>
            <w:r>
              <w:rPr>
                <w:bCs/>
                <w:lang w:val="ru-RU"/>
              </w:rPr>
              <w:t xml:space="preserve"> судебных решений. Не  </w:t>
            </w:r>
            <w:proofErr w:type="gramStart"/>
            <w:r>
              <w:rPr>
                <w:bCs/>
                <w:lang w:val="ru-RU"/>
              </w:rPr>
              <w:t>связанных</w:t>
            </w:r>
            <w:proofErr w:type="gramEnd"/>
            <w:r>
              <w:rPr>
                <w:bCs/>
                <w:lang w:val="ru-RU"/>
              </w:rPr>
              <w:t xml:space="preserve"> с погашением кредиторской задолженности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23BFF" w:rsidP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+64,0</w:t>
            </w:r>
            <w:r w:rsidR="00D14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BFF" w:rsidRDefault="00623BFF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3BF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03884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исполнение судебных решений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BFF" w:rsidRDefault="00623BF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23BF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 w:rsidP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39 1</w:t>
            </w:r>
            <w:r w:rsidR="00623BFF">
              <w:rPr>
                <w:rFonts w:ascii="Times New Roman" w:hAnsi="Times New Roman" w:cs="Times New Roman"/>
                <w:sz w:val="24"/>
                <w:szCs w:val="24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D1456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84">
              <w:rPr>
                <w:rFonts w:ascii="Times New Roman" w:hAnsi="Times New Roman" w:cs="Times New Roman"/>
                <w:sz w:val="24"/>
                <w:szCs w:val="24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BFF" w:rsidRDefault="00623BFF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3BF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BFF" w:rsidRDefault="00603884" w:rsidP="00603884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расходы по исполнительным листам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BFF" w:rsidRDefault="0060388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39 1 0230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3BFF" w:rsidRDefault="00623BFF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3BFF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3BFF" w:rsidRDefault="00623BFF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4569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569" w:rsidRDefault="00603884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569" w:rsidRDefault="0060388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569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569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569" w:rsidRDefault="006038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39 1 </w:t>
            </w:r>
            <w:r w:rsidR="005B63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4569" w:rsidRDefault="005B63A0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569" w:rsidRDefault="005B63A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4569" w:rsidRDefault="00D14569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B63A0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3A0" w:rsidRDefault="005B63A0" w:rsidP="009B1177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3A0" w:rsidRDefault="005B63A0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63A0" w:rsidRDefault="005B63A0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63A0" w:rsidRDefault="005B63A0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63A0" w:rsidRDefault="005B63A0" w:rsidP="005B63A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39 1 0230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63A0" w:rsidRDefault="005B63A0" w:rsidP="009B117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63A0" w:rsidRDefault="005B63A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3A0" w:rsidRDefault="005B63A0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E6E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E6E" w:rsidRPr="00813E6E" w:rsidRDefault="00813E6E" w:rsidP="009B1177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E6E" w:rsidRDefault="00813E6E" w:rsidP="009B117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E6E" w:rsidRDefault="00813E6E" w:rsidP="009B1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E6E" w:rsidRDefault="00813E6E" w:rsidP="009B1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E6E" w:rsidRDefault="00813E6E" w:rsidP="005B63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E6E" w:rsidRDefault="00813E6E" w:rsidP="009B11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E6E" w:rsidRDefault="00813E6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3E6E" w:rsidRDefault="00813E6E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13E6E" w:rsidRDefault="00813E6E" w:rsidP="00623BFF">
      <w:pPr>
        <w:pStyle w:val="10"/>
        <w:rPr>
          <w:rFonts w:ascii="Times New Roman" w:hAnsi="Times New Roman"/>
          <w:lang w:val="ru-RU" w:eastAsia="ru-RU"/>
        </w:rPr>
      </w:pPr>
    </w:p>
    <w:p w:rsidR="00813E6E" w:rsidRDefault="00813E6E" w:rsidP="00623BFF">
      <w:pPr>
        <w:pStyle w:val="10"/>
        <w:rPr>
          <w:rFonts w:ascii="Times New Roman" w:hAnsi="Times New Roman"/>
          <w:lang w:val="ru-RU" w:eastAsia="ru-RU"/>
        </w:rPr>
      </w:pPr>
    </w:p>
    <w:p w:rsidR="00813E6E" w:rsidRDefault="00813E6E" w:rsidP="00623BFF">
      <w:pPr>
        <w:pStyle w:val="10"/>
        <w:rPr>
          <w:rFonts w:ascii="Times New Roman" w:hAnsi="Times New Roman"/>
          <w:lang w:val="ru-RU" w:eastAsia="ru-RU"/>
        </w:rPr>
      </w:pPr>
    </w:p>
    <w:p w:rsidR="00813E6E" w:rsidRDefault="00813E6E" w:rsidP="00623BFF">
      <w:pPr>
        <w:pStyle w:val="10"/>
        <w:rPr>
          <w:rFonts w:ascii="Times New Roman" w:hAnsi="Times New Roman"/>
          <w:lang w:val="ru-RU" w:eastAsia="ru-RU"/>
        </w:rPr>
      </w:pPr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23BFF" w:rsidRDefault="00623BFF" w:rsidP="00623BFF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813E6E">
      <w:pPr>
        <w:pStyle w:val="10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3 к решению Совета 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 </w:t>
      </w:r>
      <w:r w:rsidR="00732D2F">
        <w:rPr>
          <w:rFonts w:ascii="Times New Roman" w:hAnsi="Times New Roman"/>
          <w:sz w:val="20"/>
          <w:szCs w:val="20"/>
          <w:lang w:val="ru-RU" w:eastAsia="ru-RU"/>
        </w:rPr>
        <w:t>30</w:t>
      </w:r>
      <w:r>
        <w:rPr>
          <w:rFonts w:ascii="Times New Roman" w:hAnsi="Times New Roman"/>
          <w:sz w:val="20"/>
          <w:szCs w:val="20"/>
          <w:lang w:val="ru-RU" w:eastAsia="ru-RU"/>
        </w:rPr>
        <w:t>.11.  2015 года № 4</w:t>
      </w:r>
      <w:r w:rsidR="00732D2F">
        <w:rPr>
          <w:rFonts w:ascii="Times New Roman" w:hAnsi="Times New Roman"/>
          <w:sz w:val="20"/>
          <w:szCs w:val="20"/>
          <w:lang w:val="ru-RU" w:eastAsia="ru-RU"/>
        </w:rPr>
        <w:t>6</w:t>
      </w:r>
      <w:r>
        <w:rPr>
          <w:rFonts w:ascii="Times New Roman" w:hAnsi="Times New Roman"/>
          <w:sz w:val="20"/>
          <w:szCs w:val="20"/>
          <w:lang w:val="ru-RU" w:eastAsia="ru-RU"/>
        </w:rPr>
        <w:t>/</w:t>
      </w:r>
      <w:r w:rsidR="00732D2F">
        <w:rPr>
          <w:rFonts w:ascii="Times New Roman" w:hAnsi="Times New Roman"/>
          <w:sz w:val="20"/>
          <w:szCs w:val="20"/>
          <w:lang w:val="ru-RU" w:eastAsia="ru-RU"/>
        </w:rPr>
        <w:t>99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623BFF" w:rsidRDefault="00623BFF" w:rsidP="00623BFF">
      <w:pPr>
        <w:pStyle w:val="1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на 2015 год</w:t>
      </w:r>
    </w:p>
    <w:p w:rsidR="00623BFF" w:rsidRDefault="00623BFF" w:rsidP="00623BFF">
      <w:pPr>
        <w:pStyle w:val="10"/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tbl>
      <w:tblPr>
        <w:tblW w:w="10024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8"/>
        <w:gridCol w:w="567"/>
        <w:gridCol w:w="567"/>
        <w:gridCol w:w="1275"/>
        <w:gridCol w:w="567"/>
        <w:gridCol w:w="1065"/>
        <w:gridCol w:w="35"/>
      </w:tblGrid>
      <w:tr w:rsidR="00732D2F" w:rsidTr="00732D2F">
        <w:trPr>
          <w:trHeight w:val="537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</w:p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D2F" w:rsidRDefault="00732D2F" w:rsidP="009B1177">
            <w:pPr>
              <w:pStyle w:val="2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Сумма</w:t>
            </w: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  <w:bCs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+64,0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>исполнении</w:t>
            </w:r>
            <w:proofErr w:type="gramEnd"/>
            <w:r>
              <w:rPr>
                <w:bCs/>
                <w:lang w:val="ru-RU"/>
              </w:rPr>
              <w:t xml:space="preserve"> судебных решений. Не  </w:t>
            </w:r>
            <w:proofErr w:type="gramStart"/>
            <w:r>
              <w:rPr>
                <w:bCs/>
                <w:lang w:val="ru-RU"/>
              </w:rPr>
              <w:t>связанных</w:t>
            </w:r>
            <w:proofErr w:type="gramEnd"/>
            <w:r>
              <w:rPr>
                <w:bCs/>
                <w:lang w:val="ru-RU"/>
              </w:rPr>
              <w:t xml:space="preserve"> с погашением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+64,0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39 1 0000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расходы по исполнительным листам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39 1 0230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39 1 0230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1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39 1 0230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732D2F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+64,0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2D2F" w:rsidTr="00732D2F">
        <w:trPr>
          <w:trHeight w:val="557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D2F" w:rsidRDefault="00732D2F" w:rsidP="009B1177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b/>
                <w:iCs/>
                <w:lang w:val="ru-RU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2D2F" w:rsidRDefault="00813E6E" w:rsidP="009B1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+64,0</w:t>
            </w:r>
            <w:r w:rsidR="00732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2D2F" w:rsidRDefault="00732D2F" w:rsidP="009B11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32D2F" w:rsidRDefault="00732D2F" w:rsidP="00732D2F">
      <w:pPr>
        <w:pStyle w:val="10"/>
        <w:rPr>
          <w:lang w:val="ru-RU"/>
        </w:rPr>
      </w:pPr>
    </w:p>
    <w:p w:rsidR="00732D2F" w:rsidRDefault="00732D2F" w:rsidP="00732D2F">
      <w:pPr>
        <w:pStyle w:val="10"/>
        <w:rPr>
          <w:rFonts w:ascii="Times New Roman" w:hAnsi="Times New Roman"/>
          <w:lang w:val="ru-RU" w:eastAsia="ru-RU"/>
        </w:rPr>
      </w:pPr>
    </w:p>
    <w:p w:rsidR="00732D2F" w:rsidRDefault="00732D2F" w:rsidP="00732D2F">
      <w:pPr>
        <w:pStyle w:val="10"/>
        <w:rPr>
          <w:rFonts w:ascii="Times New Roman" w:hAnsi="Times New Roman"/>
          <w:lang w:val="ru-RU" w:eastAsia="ru-RU"/>
        </w:rPr>
      </w:pPr>
    </w:p>
    <w:p w:rsidR="00732D2F" w:rsidRDefault="00732D2F" w:rsidP="00732D2F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732D2F" w:rsidRDefault="00732D2F" w:rsidP="00732D2F">
      <w:pPr>
        <w:pStyle w:val="1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 w:rsidP="00732D2F">
      <w:pPr>
        <w:pStyle w:val="10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32D2F" w:rsidRDefault="00732D2F">
      <w:pPr>
        <w:pStyle w:val="10"/>
        <w:jc w:val="right"/>
        <w:rPr>
          <w:rFonts w:ascii="Times New Roman" w:hAnsi="Times New Roman"/>
          <w:b/>
          <w:lang w:val="ru-RU" w:eastAsia="ru-RU"/>
        </w:rPr>
      </w:pPr>
    </w:p>
    <w:sectPr w:rsidR="00732D2F" w:rsidSect="00623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BFF"/>
    <w:rsid w:val="001A5202"/>
    <w:rsid w:val="00407F8D"/>
    <w:rsid w:val="0052459D"/>
    <w:rsid w:val="00592892"/>
    <w:rsid w:val="005B63A0"/>
    <w:rsid w:val="00603884"/>
    <w:rsid w:val="00623BFF"/>
    <w:rsid w:val="00644935"/>
    <w:rsid w:val="00732D2F"/>
    <w:rsid w:val="007A00A2"/>
    <w:rsid w:val="00813E6E"/>
    <w:rsid w:val="008E5FDC"/>
    <w:rsid w:val="00902DB3"/>
    <w:rsid w:val="00915494"/>
    <w:rsid w:val="00983B67"/>
    <w:rsid w:val="00D14569"/>
    <w:rsid w:val="00D2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9D"/>
  </w:style>
  <w:style w:type="paragraph" w:styleId="2">
    <w:name w:val="heading 2"/>
    <w:basedOn w:val="a"/>
    <w:next w:val="a"/>
    <w:link w:val="20"/>
    <w:unhideWhenUsed/>
    <w:qFormat/>
    <w:rsid w:val="00623BFF"/>
    <w:pPr>
      <w:keepNext/>
      <w:tabs>
        <w:tab w:val="num" w:pos="576"/>
      </w:tabs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BFF"/>
    <w:rPr>
      <w:rFonts w:ascii="Arial" w:eastAsia="Times New Roman" w:hAnsi="Arial" w:cs="Arial"/>
      <w:b/>
      <w:bCs/>
      <w:lang w:eastAsia="zh-CN"/>
    </w:rPr>
  </w:style>
  <w:style w:type="paragraph" w:styleId="a3">
    <w:name w:val="footer"/>
    <w:basedOn w:val="a"/>
    <w:link w:val="1"/>
    <w:unhideWhenUsed/>
    <w:rsid w:val="00623B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23BFF"/>
  </w:style>
  <w:style w:type="paragraph" w:customStyle="1" w:styleId="10">
    <w:name w:val="Без интервала1"/>
    <w:rsid w:val="00623BFF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character" w:customStyle="1" w:styleId="1">
    <w:name w:val="Нижний колонтитул Знак1"/>
    <w:basedOn w:val="a0"/>
    <w:link w:val="a3"/>
    <w:locked/>
    <w:rsid w:val="00623BFF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2015-12-08T05:51:00Z</cp:lastPrinted>
  <dcterms:created xsi:type="dcterms:W3CDTF">2015-11-27T07:59:00Z</dcterms:created>
  <dcterms:modified xsi:type="dcterms:W3CDTF">2015-12-08T06:05:00Z</dcterms:modified>
</cp:coreProperties>
</file>